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A2F" w:rsidRDefault="00A80A2F"/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213"/>
        <w:gridCol w:w="3213"/>
        <w:gridCol w:w="3213"/>
      </w:tblGrid>
      <w:tr w:rsidR="00A80A2F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A80A2F" w:rsidRDefault="00BA0DC1">
            <w:pPr>
              <w:widowControl w:val="0"/>
              <w:spacing w:after="0" w:line="240" w:lineRule="auto"/>
              <w:ind w:left="-84" w:right="-96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0"/>
                <w:lang w:eastAsia="ru-RU"/>
              </w:rPr>
              <w:t>МИНИСТЕРСТВО ПРИРОДНЫХ РЕСУРСОВ И ЭКОЛОГИИ</w:t>
            </w:r>
            <w:r>
              <w:rPr>
                <w:rFonts w:ascii="PT Astra Serif" w:eastAsia="Times New Roman" w:hAnsi="PT Astra Serif" w:cs="Times New Roman"/>
                <w:b/>
                <w:sz w:val="28"/>
                <w:szCs w:val="20"/>
                <w:lang w:eastAsia="ru-RU"/>
              </w:rPr>
              <w:br/>
              <w:t>ТУЛЬСКОЙ ОБЛАСТИ</w:t>
            </w:r>
          </w:p>
        </w:tc>
      </w:tr>
      <w:tr w:rsidR="00A80A2F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A80A2F" w:rsidRDefault="00A80A2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0A2F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pacing w:val="7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pacing w:val="70"/>
                <w:sz w:val="28"/>
                <w:szCs w:val="28"/>
                <w:lang w:eastAsia="ru-RU"/>
              </w:rPr>
              <w:t>ПРИКАЗ</w:t>
            </w:r>
          </w:p>
        </w:tc>
      </w:tr>
      <w:tr w:rsidR="00A80A2F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A80A2F" w:rsidRDefault="00A80A2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0A2F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A80A2F" w:rsidRDefault="00A80A2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0A2F">
        <w:trPr>
          <w:trHeight w:val="141"/>
        </w:trPr>
        <w:tc>
          <w:tcPr>
            <w:tcW w:w="3213" w:type="dxa"/>
            <w:shd w:val="clear" w:color="auto" w:fill="auto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A80A2F" w:rsidRDefault="00A80A2F">
            <w:pPr>
              <w:widowControl w:val="0"/>
              <w:spacing w:after="0" w:line="220" w:lineRule="exact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</w:tr>
    </w:tbl>
    <w:p w:rsidR="00A80A2F" w:rsidRDefault="00A80A2F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A80A2F" w:rsidRDefault="00A80A2F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A80A2F" w:rsidRDefault="00A80A2F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A80A2F" w:rsidRDefault="00A80A2F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A80A2F" w:rsidRDefault="00BA0DC1">
      <w:pPr>
        <w:pStyle w:val="1"/>
        <w:numPr>
          <w:ilvl w:val="0"/>
          <w:numId w:val="2"/>
        </w:numPr>
        <w:spacing w:after="0" w:line="240" w:lineRule="auto"/>
        <w:rPr>
          <w:rFonts w:ascii="PT Astra Serif" w:hAnsi="PT Astra Serif"/>
          <w:bCs/>
          <w:color w:val="000000"/>
          <w:szCs w:val="28"/>
        </w:rPr>
      </w:pPr>
      <w:r>
        <w:rPr>
          <w:rFonts w:ascii="PT Astra Serif" w:hAnsi="PT Astra Serif"/>
          <w:bCs/>
          <w:color w:val="000000"/>
          <w:szCs w:val="28"/>
        </w:rPr>
        <w:t>О внесении изменения и дополнения в лесохозяйственный регламент Одоевского лесничества</w:t>
      </w:r>
    </w:p>
    <w:p w:rsidR="00A80A2F" w:rsidRDefault="00A80A2F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80A2F" w:rsidRDefault="00BA0DC1">
      <w:pPr>
        <w:pStyle w:val="ab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В соответствии со статьёй 4 закона Тульской области от 05.12.2007 № 917-ЗТО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«Закона о лесах Тульской области», положением о министерстве природных ресурсов и экологии Тульской области, утверждённом постановлением правительства Тульской области от 07.10.2014 № 13, Лесным планом Тульской области (в редакции Указа Губернатора Тульско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й области от 4 июня 2021 года № 57 «О внесении изменений в Указ губернатора Тульской области от 25.02.2015 № 51 «Об утверждении Лесного плана Тульской области») п р и к а з ы в а ю:</w:t>
      </w:r>
    </w:p>
    <w:p w:rsidR="00A80A2F" w:rsidRDefault="00BA0DC1">
      <w:pPr>
        <w:pStyle w:val="ab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1.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ab/>
        <w:t xml:space="preserve">Внести в лесохозяйственный регламент Одоевского лесничества,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утверждённый приказом министерства природных ресурсов и экологии Тульской области от 12.08.2020 № 367-о «Об утверждении лесохозяйственного регламента   Одоевского лесничества», следующие изменения: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>1.1.</w:t>
      </w:r>
      <w:r>
        <w:rPr>
          <w:rFonts w:ascii="PT Astra Serif" w:hAnsi="PT Astra Serif"/>
          <w:color w:val="000000"/>
          <w:sz w:val="26"/>
          <w:szCs w:val="26"/>
        </w:rPr>
        <w:tab/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 разделе 2.17 «Требования по охране, защите и воспро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изводству лесов» на странице 173-175 в подразделе «Общие требования пожарной безопасности в лесах» изложить в новой редакции: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«Правила пожарной безопасности в лесах» (далее Правила).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Со дня схода снежного покрова до установления устойчивой дождливой осенне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й погоды или образования снежного покрова в лесах запрещается: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а) использовать открытый огонь (костры, паяльные лампы, примусы, мангалы, жаровни) в хвойных молодняках, на гарях, на участках повреждённого леса, торфяниках, в  местах рубок (на лесосеках), не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очищенных от порубочных остатков (остатки древесины, образующиеся на лесосеке при валке и трелёвке деревьев, а также при очистке стволов от сучьев, включающие ветровальные части срубленных деревьев, </w:t>
      </w:r>
      <w:proofErr w:type="spellStart"/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откомлевки</w:t>
      </w:r>
      <w:proofErr w:type="spellEnd"/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, сучья, хворост) и заготовленной древесины в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местах подсохшей травой, а также под кронами деревьев. В других местах использование открытого огня допускается на площадках, отделённых противопожарной минерализованной (то есть очищенной до минерального слоя почвы) полосой шириной не менее 0.5 метра. Отк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рытый огонь (костёр, мангал, жаровня) после завершения сжигания порубочных остатков или его использования с иной целью тщательно засыпается землей или заливается водой до полного прекращения тления;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б) бросать горящие спички, окурки и горячую золу из курит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ельных трубок, стекло (стеклянные бутылки, банки и др.);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в) применять при охоте пыжи из горючих (способных самовозгораться, а также возгораться при воздействии источника зажигания и самостоятельно гореть после его удаления) или тлеющих материалов;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lastRenderedPageBreak/>
        <w:t>г) остав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лять промасленные или пропитанные бензином, или иными горючими веществами материалы (бумагу, ткань, паклю, вату и другие горючие вещества) в не предусмотренных специально для этого местах;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д) заправлять горючим топливные баки двигателей внутреннего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сгорания при работе двигателя, использовать машины с неисправной системой питания двигателя, а также курить или пользоваться открытым огнём вблизи машин, заправленных горючим;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е) выполнять работы с открытым огнём на торфяниках.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Запрещается засорение леса о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тходами производства и потребления.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Со дня схода снежного покрова до установления устойчивой дождливой  осенней погоды или образования снежного покрова органы государственной власти, органы местного самоуправления, учреждения, организации, иные юридические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лица независимо от их организационно-правовых форм и форм собственности, крестьянские (фермерские) хозяйства, общественные объединения, индивидуальные предприниматели, должностные лица, граждане Российской Федерации,  иностранные граждане и лица без гражд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анства, владеющие, пользующиеся и (или)  распоряжающиеся территорий, прилегающей к лесу (покрытые лесной растительностью земли), обеспечивают их очистку от сухой травянистой растительности, пожнивных остатков, валежника, порубочных остатков, отходов произв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одства и потребления и других горючих материалов на полосе шириной не менее 10 метров от границ территории и (или) леса либо отделяют противопожарной минерализованной полосой шириной не менее 1,4 метра или противопожарным барьером. 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Запрещается выжигание х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вороста, лесной подстилки, сухой травы и других горючих материалов (веществ и материалов, способных самовозгораться, а также возгораться при воздействии источника зажигания и самостоятельно гореть после его удаления) на земельных участках, непосредственно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примыкающих к лесам, защитными и лесным насаждениям и не отделённых противопожарной минерализованной полосой шириной не менее 0,5 метра.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Юридические лица и граждане, осуществляющие использование лесов обвязаны: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а) хранить горюче-смазочные материалы в закры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той таре, производить в период пожароопасного сезона очистку мест их хранения от растительного покрова, древесного мусора, других горючих материалов и отделение противопожарной минерализованной полосой шириной не менее 1,4 метра;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б) уведомлять при корчевке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пней с помощью взрывчатых веществ о месте и времени проведения этих работ органами государственной власти или органами местного самоуправления указанных в пункте 4 настоящих Правил, не менее чем за 10 дней до их начала, прекращать корчёвку пней с помощью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этих веществ при высокой пожарной опасности в лесу;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в) соблюдать нормы наличия средств предупреждения и тушения лесных пожаров при использовании лесов, утверждённые Министерством природных ресурсов и экологии российской Федерации, а также содержать средств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 предупреждения и тушения лесных пожаров в период пожароопасного сезона в готовности, обеспечивающей возможность их незамедлительного использования;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г) в случае обнаружения лесного пожара на соответствующем лесном участке сообщать об этом в специализирова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нную диспетчерскую службу и принять все возможные меры по недопущению распространения лесного пожара.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Юридические лица и индивидуальные предприниматели, осуществляющие использование лесов или имеющие объекты в лесу, перед началом пожароопасного сезона, а л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ица ответственные за проведением массовых мероприятий в лесу, перед выездом или выходом в лес обязаны провести инструктаж своих работников или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lastRenderedPageBreak/>
        <w:t>участников массовых мероприятий о соблюдении требований настоящих Правил и предупреждении лесных пожаров, а также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способах их тушения.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Организации осуществляющие авиационные работы по охране и защите лесов, обязаны обо всех обнаруженных нарушениях настоящих Правил незамедлительно сообщать об этом в специализированную диспетчерскую службу и информировать органы госуда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рственной власти, органы местного самоуправления, указанные в Правилах»;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1.2.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ab/>
        <w:t xml:space="preserve">В разделе 2.17 «Требования по охране, защите и воспроизводству лесов» на странице 177 в разделе «Требования пожарной безопасности в лесах при проведении рубок лесных насаждений»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абзац 5 изложить в новой редакции: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«б) укладка порубочных остатков длиной не более 2 метров в кучи или валы шириной не более 3 метров с уплотнением их к земле для перегнивания, сжигания или разбрасывания в измельчённом виде по площади мест рубки (лесосеки)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на расстояние не менее 10 метров от прилегающих лесных насаждений. Расстояние между валами должно быть не менее 20 метров если оно не обусловлено технологией лесосечных работ»;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1.4.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ab/>
        <w:t>В разделе 2.17 на странице 181-182 «Требования по охране, защите и воспро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изводству лесов» в подразделе «Требования и пребывание граждан в лесах» изложить в новой редакции: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«а) соблюдать требования пожарной безопасности в лесах, установленные пунктом 8 настоящих Правил;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б) при обнаружении лесных пожаров обязаны сообщить о лесном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пожаре с использованием единого номера вызова экстренных оперативных служб «112», а также в специализированную диспетчерскую службу;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в) принимать при обнаружении лесного пожара посильные меры по его тушению своими силами до прибытия сил пожаротушения;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г)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оказывать содействие органам государственной власти и органам местного самоуправления, указанных в Правилах, при тушении лесных пожаров;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д) немедленно уведомлять органы государственной власти или органы местного самоуправления, указанные в Правилах о имеющ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ихся фактах захламления лесов.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6"/>
          <w:szCs w:val="26"/>
          <w:lang w:eastAsia="ru-RU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Пребывание граждан в лесах может быть ограничено в целях обеспечения пожарной безопасности в лесах в порядке, установленном Министерством природных ресурсов и экологии российской Федерации.».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1.4. В разделе 2.17 «Требования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по охране, защите и воспроизводству лесов» на странице 181 в подразделе «Распределение территории лесного фонда, загрязненного радионуклидами по зонам радиоактивного загрязнения» 5 абзац изложить в следующей редакции: «распределение площади лесничества по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зонам радиоактивного загрязнения на 01.01.2020 г. проводится в соответствии с письмом Федерального агентства лесного хозяйства от 13.10.2020 № АА-69-27/20055.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Таблицу 51 «Распределение территории Одоевского лесничества по зонам радиоактивного загрязнения»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изложить в новой редакции:</w:t>
      </w:r>
    </w:p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tbl>
      <w:tblPr>
        <w:tblW w:w="1003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5"/>
        <w:gridCol w:w="4438"/>
        <w:gridCol w:w="3074"/>
        <w:gridCol w:w="1391"/>
      </w:tblGrid>
      <w:tr w:rsidR="00A80A2F">
        <w:trPr>
          <w:trHeight w:val="70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A80A2F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№№ </w:t>
            </w:r>
            <w:proofErr w:type="spellStart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Участковое лесничество, лесная дача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Квартал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Площадь, га</w:t>
            </w:r>
          </w:p>
        </w:tc>
      </w:tr>
      <w:tr w:rsidR="00A80A2F">
        <w:tc>
          <w:tcPr>
            <w:tcW w:w="10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Зона слабого радиоактивного загрязнения </w:t>
            </w: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(до 5 </w:t>
            </w:r>
            <w:proofErr w:type="spellStart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Кю</w:t>
            </w:r>
            <w:proofErr w:type="spellEnd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/</w:t>
            </w:r>
            <w:proofErr w:type="spellStart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км.кв</w:t>
            </w:r>
            <w:proofErr w:type="spellEnd"/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)</w:t>
            </w:r>
          </w:p>
        </w:tc>
      </w:tr>
      <w:tr w:rsidR="00A80A2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BA0DC1">
            <w:pPr>
              <w:pStyle w:val="ac"/>
              <w:widowControl w:val="0"/>
              <w:spacing w:after="0" w:line="240" w:lineRule="auto"/>
              <w:ind w:left="0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Южно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- Одоевское участковое лесничество:</w:t>
            </w:r>
          </w:p>
          <w:p w:rsidR="00A80A2F" w:rsidRDefault="00BA0DC1">
            <w:pPr>
              <w:pStyle w:val="ac"/>
              <w:widowControl w:val="0"/>
              <w:spacing w:after="0" w:line="240" w:lineRule="auto"/>
              <w:ind w:left="0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lastRenderedPageBreak/>
              <w:t>Южно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– Одоевская дача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A80A2F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65, 66, 72, 74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A2F" w:rsidRDefault="00A80A2F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</w:p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186</w:t>
            </w:r>
          </w:p>
        </w:tc>
      </w:tr>
      <w:tr w:rsidR="00A80A2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Итого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A80A2F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0A2F" w:rsidRDefault="00A80A2F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A2F" w:rsidRDefault="00BA0DC1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186</w:t>
            </w:r>
          </w:p>
        </w:tc>
      </w:tr>
    </w:tbl>
    <w:p w:rsidR="00A80A2F" w:rsidRDefault="00A80A2F">
      <w:pPr>
        <w:rPr>
          <w:rFonts w:ascii="Calibri" w:eastAsia="Calibri" w:hAnsi="Calibri"/>
          <w:lang w:eastAsia="ar-SA"/>
        </w:rPr>
      </w:pPr>
    </w:p>
    <w:p w:rsidR="00A80A2F" w:rsidRDefault="00BA0DC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1.5. 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разделе 2.17 «Требования по охране, защите и воспроизводству лесов» на странице 184 в подразделе «Требования к защите лесов от вредных организмов» абзац 2 изложить в новой редакции: «Защита лесов от вредных организмов регламентируется Лесным кодексом РФ,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Правилами санитарной безопасности в лесах, Правилами ликвидации очагов вредных организмов, Правилами осуществления мероприятий по предупреждению распространения вредных организмов»;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1.6. В разделе 2.17 «Требования к охране, защите и воспроизводству лесов»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3 изложить в новой редакции: «Согласно лесного кодекса РФ меры санитарной безопасности в лесах включают в себя: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2) государственный лесопатологический мониторинг»;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1.7. В р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1 изложить в новой редакции: «Санитарное состояние насаждений оценивалось по Шкале категорий санитарного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состояния деревьев, согласно действующим Правилам санитарной безопасности в лесах»;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1.8.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186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3 после табли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«Проведение и определение объёмов санитарно-оздоровительных мероприятий должно устанавливаться исходя из санитарного и лесопатологического состояния насаждений, которое определяется при проведении лесопатологических обследован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ий в соответствии с Порядком проведения лесопатологических обследований и формы акта лесопатологического обследования»;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1.9.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187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дных организмов» добавить 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6 перед таблицей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: «Рубка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лиц, состояние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деревьев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определяется при пров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едении обследования аварийных деревьев соответствии с Правилами осуществления мероприятий по предупреждению распространения вредных организмов»;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1.10.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187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перед таблицей изложить в новой редакции: «В насаждениях, поврежденных вредителями, болезнями, антропогенными факторами, проектируются сплошные и выборочные санитарные рубки, уборка неликвидной древесины,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проведение которых регламентируется Правилами санитарной безопасности в лесах»;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1.11.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193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в примечании после таб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лицы изложить в новой редакции: «Сроки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lastRenderedPageBreak/>
        <w:t>вырубки или уборки определяются актом ЛПО. Запланированные объемы корректируются ежегодно в соответствии с Правилами осуществления мероприятий по предупреждению распространения вредных организмов»;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1.12. В разделе 2.1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194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«В целях оздоровления насаждений и недопущения распространения вредителей и болезней л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еса, следует ежегодно проводить на территории лесничества лесозащитные мероприятия. При выполнении данных мероприятий необходимо руководствоваться Правилами осуществления мероприятий по предупреждению распространения вредных организмов»;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1.13. В разделе 2.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17 «Требования к охране, защите и воспроизводству лесов» на странице </w:t>
      </w:r>
      <w:r w:rsidRPr="00BA0DC1"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194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таблицу </w:t>
      </w:r>
      <w:r w:rsidRPr="00BA0DC1">
        <w:rPr>
          <w:rFonts w:ascii="PT Astra Serif" w:hAnsi="PT Astra Serif" w:cs="Times New Roman"/>
          <w:color w:val="000000"/>
          <w:sz w:val="28"/>
          <w:szCs w:val="28"/>
          <w:lang w:eastAsia="ru-RU"/>
        </w:rPr>
        <w:t>54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«Параметры профилактических и других мероприятий по предупреждению распространения вредных организмов» изложить в новой редакции:</w:t>
      </w:r>
    </w:p>
    <w:p w:rsidR="00A80A2F" w:rsidRDefault="00BA0DC1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Таблица 54</w:t>
      </w:r>
    </w:p>
    <w:p w:rsidR="00A80A2F" w:rsidRDefault="00BA0DC1">
      <w:pPr>
        <w:pStyle w:val="ab"/>
        <w:widowControl w:val="0"/>
        <w:tabs>
          <w:tab w:val="left" w:pos="1305"/>
        </w:tabs>
        <w:spacing w:after="0" w:line="240" w:lineRule="auto"/>
        <w:ind w:firstLine="113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  <w:t>«Параметры профилактических и других мероприятий по предупреждению распространения вредных организмов»</w:t>
      </w:r>
    </w:p>
    <w:tbl>
      <w:tblPr>
        <w:tblW w:w="971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39"/>
        <w:gridCol w:w="1636"/>
        <w:gridCol w:w="1849"/>
        <w:gridCol w:w="1577"/>
        <w:gridCol w:w="1612"/>
      </w:tblGrid>
      <w:tr w:rsidR="00A80A2F">
        <w:trPr>
          <w:trHeight w:val="514"/>
          <w:jc w:val="center"/>
        </w:trPr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Наименовани</w:t>
            </w:r>
            <w:r>
              <w:rPr>
                <w:rFonts w:ascii="PT Astra Serif" w:hAnsi="PT Astra Serif"/>
                <w:sz w:val="26"/>
                <w:szCs w:val="26"/>
              </w:rPr>
              <w:t>е мероприятий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Единицы измерений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Объём мероприятий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Срок проведения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Ежегодный  объём</w:t>
            </w:r>
          </w:p>
        </w:tc>
      </w:tr>
      <w:tr w:rsidR="00A80A2F">
        <w:trPr>
          <w:trHeight w:val="178"/>
          <w:jc w:val="center"/>
        </w:trPr>
        <w:tc>
          <w:tcPr>
            <w:tcW w:w="971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A2F" w:rsidRDefault="00A80A2F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A80A2F">
        <w:trPr>
          <w:trHeight w:val="178"/>
          <w:jc w:val="center"/>
        </w:trPr>
        <w:tc>
          <w:tcPr>
            <w:tcW w:w="971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 Профилактические</w:t>
            </w:r>
          </w:p>
        </w:tc>
      </w:tr>
      <w:tr w:rsidR="00A80A2F">
        <w:trPr>
          <w:trHeight w:val="189"/>
          <w:jc w:val="center"/>
        </w:trPr>
        <w:tc>
          <w:tcPr>
            <w:tcW w:w="303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80A2F" w:rsidRDefault="00BA0DC1">
            <w:pPr>
              <w:pStyle w:val="ad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80A2F" w:rsidRDefault="00BA0DC1">
            <w:pPr>
              <w:pStyle w:val="ad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80A2F" w:rsidRDefault="00BA0DC1">
            <w:pPr>
              <w:pStyle w:val="ad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80A2F" w:rsidRDefault="00BA0DC1">
            <w:pPr>
              <w:pStyle w:val="ad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0A2F" w:rsidRDefault="00BA0DC1">
            <w:pPr>
              <w:pStyle w:val="ad"/>
              <w:spacing w:after="0" w:line="1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A80A2F">
        <w:trPr>
          <w:trHeight w:val="31"/>
          <w:jc w:val="center"/>
        </w:trPr>
        <w:tc>
          <w:tcPr>
            <w:tcW w:w="9713" w:type="dxa"/>
            <w:gridSpan w:val="5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 Другие мероприятия</w:t>
            </w:r>
          </w:p>
        </w:tc>
      </w:tr>
      <w:tr w:rsidR="00A80A2F">
        <w:trPr>
          <w:trHeight w:val="312"/>
          <w:jc w:val="center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A2F" w:rsidRDefault="00BA0DC1">
            <w:pPr>
              <w:pStyle w:val="ad"/>
              <w:spacing w:after="0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Лесопатологическое обследование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A2F" w:rsidRDefault="00BA0DC1">
            <w:pPr>
              <w:pStyle w:val="ad"/>
              <w:spacing w:after="86" w:line="227" w:lineRule="exact"/>
              <w:jc w:val="center"/>
              <w:rPr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га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A2F" w:rsidRDefault="00BA0DC1">
            <w:pPr>
              <w:pStyle w:val="ad"/>
              <w:spacing w:after="86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300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A2F" w:rsidRDefault="00BA0DC1">
            <w:pPr>
              <w:pStyle w:val="ad"/>
              <w:spacing w:after="86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Ежегодно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A2F" w:rsidRDefault="00BA0DC1">
            <w:pPr>
              <w:pStyle w:val="ad"/>
              <w:spacing w:after="86" w:line="227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300</w:t>
            </w:r>
          </w:p>
        </w:tc>
      </w:tr>
    </w:tbl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A80A2F" w:rsidRDefault="00BA0DC1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1.14.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195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 после 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«Объёмы мероприятий по ликвидации очагов вредных орга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низмов устанавливаются по фактическому санитарному состоянию насаждений в результате проведения лесопатологического обследования в соответствии с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П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орядком проведения лесопатологических обследований и формы акта лесопатологического обследования»;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1.15. В ра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195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добавить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2 после 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: «Сведения о видах и объёмах санитарно-оздоровительных мероприятий и рубки аварий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ных деревьев, планируемых к проведению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лицами, использующими леса на основании договора</w:t>
      </w:r>
      <w:bookmarkStart w:id="0" w:name="_GoBack"/>
      <w:bookmarkEnd w:id="0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аренды, решения о передачи лесного участка в постоянное (бессрочное) пользование,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вносятся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проекты освоения лесов, соответствии с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П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равилами осуществлен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ия мероприятий по предупреждению распространения вредных организмов»;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lastRenderedPageBreak/>
        <w:t xml:space="preserve">1.16. В разделе 2.17 «Требования к охране, защите и воспроизводству лесов» на странице </w:t>
      </w:r>
      <w:r w:rsidRPr="00BA0DC1"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195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таблицу </w:t>
      </w:r>
      <w:r w:rsidRPr="00BA0DC1">
        <w:rPr>
          <w:rFonts w:ascii="PT Astra Serif" w:hAnsi="PT Astra Serif" w:cs="Times New Roman"/>
          <w:color w:val="000000"/>
          <w:sz w:val="28"/>
          <w:szCs w:val="28"/>
          <w:lang w:eastAsia="ru-RU"/>
        </w:rPr>
        <w:t>55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кции:</w:t>
      </w:r>
    </w:p>
    <w:p w:rsidR="00A80A2F" w:rsidRDefault="00BA0DC1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Таблица 55</w:t>
      </w:r>
    </w:p>
    <w:p w:rsidR="00A80A2F" w:rsidRDefault="00BA0DC1">
      <w:pPr>
        <w:pStyle w:val="ab"/>
        <w:widowControl w:val="0"/>
        <w:tabs>
          <w:tab w:val="left" w:pos="1305"/>
        </w:tabs>
        <w:spacing w:after="0" w:line="240" w:lineRule="auto"/>
        <w:ind w:firstLine="113"/>
        <w:jc w:val="center"/>
      </w:pPr>
      <w:r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  <w:t>«Параметры мероприятий по ликвидации очагов вредных организмов»</w:t>
      </w:r>
    </w:p>
    <w:p w:rsidR="00A80A2F" w:rsidRDefault="00A80A2F">
      <w:pPr>
        <w:pStyle w:val="ab"/>
        <w:widowControl w:val="0"/>
        <w:tabs>
          <w:tab w:val="left" w:pos="1305"/>
        </w:tabs>
        <w:spacing w:after="0" w:line="240" w:lineRule="auto"/>
        <w:ind w:firstLine="113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e"/>
        <w:tblW w:w="9570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558"/>
        <w:gridCol w:w="1560"/>
        <w:gridCol w:w="1779"/>
      </w:tblGrid>
      <w:tr w:rsidR="00A80A2F">
        <w:trPr>
          <w:trHeight w:val="1234"/>
        </w:trPr>
        <w:tc>
          <w:tcPr>
            <w:tcW w:w="3397" w:type="dxa"/>
            <w:vAlign w:val="center"/>
          </w:tcPr>
          <w:p w:rsidR="00A80A2F" w:rsidRDefault="00BA0DC1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eastAsia="Calibri" w:hAnsi="PT Astra Serif"/>
                <w:bCs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vAlign w:val="center"/>
          </w:tcPr>
          <w:p w:rsidR="00A80A2F" w:rsidRDefault="00BA0DC1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eastAsia="Calibri" w:hAnsi="PT Astra Serif"/>
                <w:bCs/>
                <w:sz w:val="26"/>
                <w:szCs w:val="26"/>
                <w:lang w:eastAsia="ru-RU"/>
              </w:rPr>
              <w:t>Единицы измерения</w:t>
            </w:r>
          </w:p>
        </w:tc>
        <w:tc>
          <w:tcPr>
            <w:tcW w:w="1558" w:type="dxa"/>
            <w:vAlign w:val="center"/>
          </w:tcPr>
          <w:p w:rsidR="00A80A2F" w:rsidRDefault="00BA0DC1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eastAsia="Calibri" w:hAnsi="PT Astra Serif"/>
                <w:bCs/>
                <w:sz w:val="26"/>
                <w:szCs w:val="26"/>
                <w:lang w:eastAsia="ru-RU"/>
              </w:rPr>
              <w:t>Объем мероприятия</w:t>
            </w:r>
          </w:p>
        </w:tc>
        <w:tc>
          <w:tcPr>
            <w:tcW w:w="1560" w:type="dxa"/>
            <w:vAlign w:val="center"/>
          </w:tcPr>
          <w:p w:rsidR="00A80A2F" w:rsidRDefault="00BA0DC1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eastAsia="Calibri" w:hAnsi="PT Astra Serif"/>
                <w:bCs/>
                <w:sz w:val="26"/>
                <w:szCs w:val="26"/>
                <w:lang w:eastAsia="ru-RU"/>
              </w:rPr>
              <w:t>Срок проведения</w:t>
            </w:r>
          </w:p>
        </w:tc>
        <w:tc>
          <w:tcPr>
            <w:tcW w:w="1779" w:type="dxa"/>
            <w:vAlign w:val="center"/>
          </w:tcPr>
          <w:p w:rsidR="00A80A2F" w:rsidRDefault="00BA0DC1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eastAsia="Calibri" w:hAnsi="PT Astra Serif"/>
                <w:bCs/>
                <w:sz w:val="26"/>
                <w:szCs w:val="26"/>
                <w:lang w:eastAsia="ru-RU"/>
              </w:rPr>
              <w:t>Ежегодный объем</w:t>
            </w:r>
          </w:p>
        </w:tc>
      </w:tr>
      <w:tr w:rsidR="00A80A2F">
        <w:tc>
          <w:tcPr>
            <w:tcW w:w="9570" w:type="dxa"/>
            <w:gridSpan w:val="5"/>
          </w:tcPr>
          <w:p w:rsidR="00A80A2F" w:rsidRDefault="00A80A2F">
            <w:pPr>
              <w:pStyle w:val="2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</w:tr>
      <w:tr w:rsidR="00A80A2F">
        <w:tc>
          <w:tcPr>
            <w:tcW w:w="3397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both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558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1779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</w:tr>
      <w:tr w:rsidR="00A80A2F">
        <w:tc>
          <w:tcPr>
            <w:tcW w:w="3397" w:type="dxa"/>
          </w:tcPr>
          <w:p w:rsidR="00A80A2F" w:rsidRDefault="00BA0DC1">
            <w:pPr>
              <w:pStyle w:val="20"/>
              <w:spacing w:after="0" w:line="240" w:lineRule="auto"/>
              <w:ind w:left="0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eastAsia="Calibri" w:hAnsi="PT Astra Serif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276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  <w:tc>
          <w:tcPr>
            <w:tcW w:w="1779" w:type="dxa"/>
          </w:tcPr>
          <w:p w:rsidR="00A80A2F" w:rsidRDefault="00A80A2F">
            <w:pPr>
              <w:pStyle w:val="20"/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</w:p>
        </w:tc>
      </w:tr>
    </w:tbl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1.17. В разделе 2.17 «Требования к охране, защите и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воспроизводству лесов» на странице 197 в подразделе «Требования к воспроизводству лесов» абзац 2 изложить в новой редакции: «Мероприятия по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лесовосстановлению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проектируются в соответствии с действующими Правилами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.»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1.18. В разделе 2.17 «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Требования к охране, защите и воспроизводству лесов» на странице 197 в подразделе «Требования к воспроизводству лесов» таблицу 56 изложить в следующей редакции:</w:t>
      </w:r>
    </w:p>
    <w:p w:rsidR="00A80A2F" w:rsidRDefault="00BA0DC1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Таблица 56</w:t>
      </w:r>
    </w:p>
    <w:p w:rsidR="00A80A2F" w:rsidRDefault="00BA0DC1">
      <w:pPr>
        <w:spacing w:after="0" w:line="240" w:lineRule="auto"/>
        <w:ind w:left="-57" w:right="-57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(таблица 21 приложения к Составу лесохозяйственных регламентов, порядку их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разработки, срокам их действия и порядку внесения в них изменений)</w:t>
      </w:r>
    </w:p>
    <w:p w:rsidR="00A80A2F" w:rsidRDefault="00A80A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80A2F" w:rsidRDefault="00BA0D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Нормативы и параметры существующих и проектируемых объектов лесного семеноводства</w:t>
      </w:r>
    </w:p>
    <w:tbl>
      <w:tblPr>
        <w:tblStyle w:val="21"/>
        <w:tblW w:w="5000" w:type="pct"/>
        <w:tblLayout w:type="fixed"/>
        <w:tblLook w:val="04A0" w:firstRow="1" w:lastRow="0" w:firstColumn="1" w:lastColumn="0" w:noHBand="0" w:noVBand="1"/>
      </w:tblPr>
      <w:tblGrid>
        <w:gridCol w:w="550"/>
        <w:gridCol w:w="2322"/>
        <w:gridCol w:w="2171"/>
        <w:gridCol w:w="3035"/>
        <w:gridCol w:w="1692"/>
      </w:tblGrid>
      <w:tr w:rsidR="00A80A2F">
        <w:trPr>
          <w:trHeight w:val="1098"/>
        </w:trPr>
        <w:tc>
          <w:tcPr>
            <w:tcW w:w="551" w:type="dxa"/>
            <w:vAlign w:val="center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324" w:type="dxa"/>
            <w:vAlign w:val="center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объектов лесного семеноводства</w:t>
            </w:r>
          </w:p>
        </w:tc>
        <w:tc>
          <w:tcPr>
            <w:tcW w:w="2173" w:type="dxa"/>
            <w:vAlign w:val="center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Характеристика объектов лесного семеноводства</w:t>
            </w:r>
          </w:p>
        </w:tc>
        <w:tc>
          <w:tcPr>
            <w:tcW w:w="3038" w:type="dxa"/>
            <w:vAlign w:val="center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Местополож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ение</w:t>
            </w:r>
          </w:p>
        </w:tc>
        <w:tc>
          <w:tcPr>
            <w:tcW w:w="1694" w:type="dxa"/>
            <w:vAlign w:val="center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Мероприятия</w:t>
            </w:r>
          </w:p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(по годам)</w:t>
            </w:r>
          </w:p>
        </w:tc>
      </w:tr>
      <w:tr w:rsidR="00A80A2F">
        <w:tc>
          <w:tcPr>
            <w:tcW w:w="9780" w:type="dxa"/>
            <w:gridSpan w:val="5"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i/>
                <w:sz w:val="26"/>
                <w:szCs w:val="26"/>
              </w:rPr>
            </w:pPr>
          </w:p>
        </w:tc>
      </w:tr>
      <w:tr w:rsidR="00A80A2F">
        <w:tc>
          <w:tcPr>
            <w:tcW w:w="551" w:type="dxa"/>
            <w:vMerge w:val="restart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324" w:type="dxa"/>
            <w:vMerge w:val="restart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Плюсовые деревья</w:t>
            </w:r>
          </w:p>
        </w:tc>
        <w:tc>
          <w:tcPr>
            <w:tcW w:w="2173" w:type="dxa"/>
            <w:vMerge w:val="restart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Дуб черешчатый</w:t>
            </w:r>
          </w:p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 шт.</w:t>
            </w:r>
          </w:p>
        </w:tc>
        <w:tc>
          <w:tcPr>
            <w:tcW w:w="3038" w:type="dxa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Северо-Одоевское участковое лесничество, Северо-Одоевская дача, квартал 81 выдел 1</w:t>
            </w:r>
          </w:p>
        </w:tc>
        <w:tc>
          <w:tcPr>
            <w:tcW w:w="1694" w:type="dxa"/>
            <w:vMerge w:val="restart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2023 - уход</w:t>
            </w:r>
          </w:p>
        </w:tc>
      </w:tr>
      <w:tr w:rsidR="00A80A2F">
        <w:tc>
          <w:tcPr>
            <w:tcW w:w="551" w:type="dxa"/>
            <w:vMerge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2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73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квартал 86 выдел 2</w:t>
            </w:r>
          </w:p>
        </w:tc>
        <w:tc>
          <w:tcPr>
            <w:tcW w:w="169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A2F">
        <w:tc>
          <w:tcPr>
            <w:tcW w:w="551" w:type="dxa"/>
            <w:vMerge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2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73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квартал 87 выдел 4</w:t>
            </w:r>
          </w:p>
        </w:tc>
        <w:tc>
          <w:tcPr>
            <w:tcW w:w="169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A2F">
        <w:tc>
          <w:tcPr>
            <w:tcW w:w="551" w:type="dxa"/>
            <w:vMerge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2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73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квартал 87 выдел 5</w:t>
            </w:r>
          </w:p>
        </w:tc>
        <w:tc>
          <w:tcPr>
            <w:tcW w:w="169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A2F">
        <w:tc>
          <w:tcPr>
            <w:tcW w:w="551" w:type="dxa"/>
            <w:vMerge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2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73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квартал 102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выдел 1</w:t>
            </w:r>
          </w:p>
        </w:tc>
        <w:tc>
          <w:tcPr>
            <w:tcW w:w="1694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A2F">
        <w:tc>
          <w:tcPr>
            <w:tcW w:w="551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24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73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038" w:type="dxa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квартал 96 выдел 1</w:t>
            </w:r>
          </w:p>
        </w:tc>
        <w:tc>
          <w:tcPr>
            <w:tcW w:w="1694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</w:p>
        </w:tc>
      </w:tr>
      <w:tr w:rsidR="00A80A2F">
        <w:tc>
          <w:tcPr>
            <w:tcW w:w="551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24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3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038" w:type="dxa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квартал 88 выдел 1</w:t>
            </w:r>
          </w:p>
        </w:tc>
        <w:tc>
          <w:tcPr>
            <w:tcW w:w="1694" w:type="dxa"/>
            <w:vMerge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</w:p>
        </w:tc>
      </w:tr>
      <w:tr w:rsidR="00A80A2F">
        <w:tc>
          <w:tcPr>
            <w:tcW w:w="551" w:type="dxa"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324" w:type="dxa"/>
            <w:vAlign w:val="center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2173" w:type="dxa"/>
            <w:vAlign w:val="center"/>
          </w:tcPr>
          <w:p w:rsidR="00A80A2F" w:rsidRDefault="00BA0DC1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038" w:type="dxa"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694" w:type="dxa"/>
            <w:vAlign w:val="center"/>
          </w:tcPr>
          <w:p w:rsidR="00A80A2F" w:rsidRDefault="00A80A2F">
            <w:pPr>
              <w:spacing w:after="0" w:line="240" w:lineRule="auto"/>
              <w:ind w:left="-85" w:right="-85"/>
              <w:jc w:val="center"/>
              <w:rPr>
                <w:sz w:val="26"/>
                <w:szCs w:val="26"/>
              </w:rPr>
            </w:pPr>
          </w:p>
        </w:tc>
      </w:tr>
    </w:tbl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</w:pP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1.19.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воспроизводству лесов» на странице 198 в подразделе «Требования к воспроизводству лесов» абзац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lastRenderedPageBreak/>
        <w:t xml:space="preserve">3 изложить в новой редакции: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«Естественное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лесовосстановление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вследствие природных процессов планируется: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- на участках с наличием жизнеспособного подроста и молодняка главных древесных пород в количестве не менее полуторной нормы, предусмотренной приложением для соответствующего лесн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ого района по естественному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лесовосстановлению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путём мер по сохранению подроста согласно действующих Правил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;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- при рубке насаждений древесных пород (дуб, ясень, вяз, липа, береза, осина, ольха, клен, робиния), способных к вегетативному 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озобновлению путем образования поросли от пней или корневых отпрысков, если невозможно семенное возобновление, а вегетативное возобновление соответствует целям ведения хозяйства.»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1.20.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 разделе 2.17 «Требования к охране, защите и воспроизводству лесов» н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а странице 202 в подразделе «Требования к воспроизводству лесов» абзац 6 изложить в новой редакции: «Выбор способа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зависит от древесной породы, типа леса и количества жизнеспособного подроста и молодняка на конкретном участке земель нужд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ающихся в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лесовосстановлении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 осуществляется в соответствии с действующими Правилами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.»</w:t>
      </w:r>
    </w:p>
    <w:p w:rsidR="00A80A2F" w:rsidRDefault="00BA0DC1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1.21.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воспроизводству лесов» на странице 203 в подразделе «Требования к воспроизводству лесов» абзац 1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изложить в новой редакции: «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Площади лесных участков, на которых проведено искусственное и (или) комбинированное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лесовосстановление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, относятся к землям, занятым лесными насаждениями, при достижении лесными растениями параметров главной лесной древесной поро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ды, указанной в приложении к действующим Правилам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соответствующего лесного района и в таблице 59.</w:t>
      </w:r>
    </w:p>
    <w:p w:rsidR="00A80A2F" w:rsidRDefault="00BA0DC1">
      <w:pPr>
        <w:widowControl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Таблица 59</w:t>
      </w:r>
    </w:p>
    <w:p w:rsidR="00A80A2F" w:rsidRDefault="00BA0DC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«Критерии и требования к молоднякам, площади которых подлежат отнесению к землям, на которых расположены леса»</w:t>
      </w:r>
    </w:p>
    <w:tbl>
      <w:tblPr>
        <w:tblStyle w:val="11"/>
        <w:tblW w:w="93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37"/>
        <w:gridCol w:w="2753"/>
        <w:gridCol w:w="2209"/>
        <w:gridCol w:w="1523"/>
        <w:gridCol w:w="1222"/>
      </w:tblGrid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Древесные породы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Группа типов леса или типов лесорастительных условий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Возраст (к молод-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някам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созданным искусственным и комбинированным способом) не менее, лет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Количество деревьев главных пород не менее, тыс. шт. на 1 га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Средняя высота деревьев главных пород не менее, м</w:t>
            </w:r>
          </w:p>
        </w:tc>
      </w:tr>
      <w:tr w:rsidR="00A80A2F">
        <w:tc>
          <w:tcPr>
            <w:tcW w:w="9344" w:type="dxa"/>
            <w:gridSpan w:val="5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>Район хвойно-широколиственных (смешанных) лесов европейской части РФ</w:t>
            </w:r>
          </w:p>
        </w:tc>
      </w:tr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Береза, липа, осина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80A2F">
        <w:tc>
          <w:tcPr>
            <w:tcW w:w="1637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Дуб</w:t>
            </w:r>
          </w:p>
        </w:tc>
        <w:tc>
          <w:tcPr>
            <w:tcW w:w="2753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3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A80A2F">
        <w:tc>
          <w:tcPr>
            <w:tcW w:w="1637" w:type="dxa"/>
            <w:vMerge w:val="restart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Ель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Сложная,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мелкотравная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, черничная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80A2F">
        <w:tc>
          <w:tcPr>
            <w:tcW w:w="1637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Долгомошная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травяно-болотная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Брусничная, кисличная, черничная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A80A2F">
        <w:tc>
          <w:tcPr>
            <w:tcW w:w="1637" w:type="dxa"/>
            <w:vMerge w:val="restart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Лишайниковая, 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вересковая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A80A2F">
        <w:tc>
          <w:tcPr>
            <w:tcW w:w="1637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Брусничная, кисличная, черничная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A80A2F">
        <w:tc>
          <w:tcPr>
            <w:tcW w:w="1637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Долгомошная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сфагновая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80A2F">
        <w:tc>
          <w:tcPr>
            <w:tcW w:w="1637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Ясень, клен</w:t>
            </w:r>
          </w:p>
        </w:tc>
        <w:tc>
          <w:tcPr>
            <w:tcW w:w="2753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дубрава</w:t>
            </w:r>
          </w:p>
        </w:tc>
        <w:tc>
          <w:tcPr>
            <w:tcW w:w="2209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80A2F">
        <w:tc>
          <w:tcPr>
            <w:tcW w:w="9344" w:type="dxa"/>
            <w:gridSpan w:val="5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Лесостепной </w:t>
            </w: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>район европейской части РФ</w:t>
            </w:r>
          </w:p>
        </w:tc>
      </w:tr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Береза, липа осина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A80A2F">
        <w:tc>
          <w:tcPr>
            <w:tcW w:w="1637" w:type="dxa"/>
            <w:vMerge w:val="restart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Дуб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Сухие груд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A80A2F">
        <w:tc>
          <w:tcPr>
            <w:tcW w:w="1637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Свежие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A80A2F">
        <w:tc>
          <w:tcPr>
            <w:tcW w:w="1637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Влажные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Ель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Свежие и влажные груд и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Свежие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A80A2F">
        <w:tc>
          <w:tcPr>
            <w:tcW w:w="1637" w:type="dxa"/>
            <w:vMerge w:val="restart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Сухие бор,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A80A2F">
        <w:tc>
          <w:tcPr>
            <w:tcW w:w="1637" w:type="dxa"/>
            <w:vMerge/>
            <w:vAlign w:val="center"/>
          </w:tcPr>
          <w:p w:rsidR="00A80A2F" w:rsidRDefault="00A80A2F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Свежие и влажные бор,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Тополь белый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Влажные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A80A2F">
        <w:tc>
          <w:tcPr>
            <w:tcW w:w="1637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Ясень, клен</w:t>
            </w:r>
          </w:p>
        </w:tc>
        <w:tc>
          <w:tcPr>
            <w:tcW w:w="275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Свежие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дубрава</w:t>
            </w:r>
          </w:p>
        </w:tc>
        <w:tc>
          <w:tcPr>
            <w:tcW w:w="2209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A80A2F" w:rsidRDefault="00BA0DC1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</w:tr>
    </w:tbl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</w:pP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1.20.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«Требования к охране, защите и воспроизводству лесов» на странице 211 в подразделе «Требования к воспроизводству лесов» добавить абзац: «Объем мероприятий по воспроизводству лесов ежегодно может изменяться в связи с наличием участков, требующих проведения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соответствующих мероприятий».</w:t>
      </w:r>
    </w:p>
    <w:p w:rsidR="00A80A2F" w:rsidRDefault="00BA0DC1">
      <w:pPr>
        <w:pStyle w:val="ab"/>
        <w:tabs>
          <w:tab w:val="left" w:pos="1305"/>
        </w:tabs>
        <w:spacing w:after="0" w:line="240" w:lineRule="auto"/>
        <w:ind w:firstLine="737"/>
        <w:jc w:val="both"/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2.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ab/>
        <w:t>Контроль за выполнением настоящего приказа возложить на заместителя министра - директора департамента лесного хозяйства министерства природных ресурсов и экологии Тульской области Нашиванко В.В.</w:t>
      </w:r>
    </w:p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tbl>
      <w:tblPr>
        <w:tblW w:w="963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140"/>
        <w:gridCol w:w="1965"/>
        <w:gridCol w:w="3528"/>
      </w:tblGrid>
      <w:tr w:rsidR="00A80A2F">
        <w:trPr>
          <w:trHeight w:val="798"/>
        </w:trPr>
        <w:tc>
          <w:tcPr>
            <w:tcW w:w="4140" w:type="dxa"/>
            <w:vAlign w:val="bottom"/>
          </w:tcPr>
          <w:p w:rsidR="00A80A2F" w:rsidRDefault="00BA0DC1">
            <w:pPr>
              <w:widowControl w:val="0"/>
              <w:jc w:val="center"/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Министр природных ресурсов</w:t>
            </w:r>
            <w:r>
              <w:rPr>
                <w:rFonts w:ascii="PT Astra Serif" w:hAnsi="PT Astra Serif" w:cs="PT Astra Serif"/>
                <w:b/>
                <w:sz w:val="28"/>
                <w:szCs w:val="28"/>
              </w:rPr>
              <w:t xml:space="preserve"> и экологии Тульской области</w:t>
            </w:r>
          </w:p>
        </w:tc>
        <w:tc>
          <w:tcPr>
            <w:tcW w:w="1965" w:type="dxa"/>
            <w:vAlign w:val="bottom"/>
          </w:tcPr>
          <w:p w:rsidR="00A80A2F" w:rsidRDefault="00BA0DC1">
            <w:pPr>
              <w:widowControl w:val="0"/>
              <w:spacing w:line="220" w:lineRule="exact"/>
              <w:jc w:val="center"/>
            </w:pPr>
            <w:bookmarkStart w:id="1" w:name="stamp_eds111211"/>
            <w:r>
              <w:rPr>
                <w:rFonts w:ascii="PT Astra Serif" w:hAnsi="PT Astra Serif" w:cs="PT Astra Serif"/>
                <w:b/>
                <w:color w:val="FFFFFF"/>
                <w:lang w:val="en-US"/>
              </w:rPr>
              <w:t>#</w:t>
            </w:r>
            <w:r>
              <w:rPr>
                <w:rFonts w:ascii="PT Astra Serif" w:eastAsia="Times New Roman" w:hAnsi="PT Astra Serif" w:cs="PT Astra Serif"/>
                <w:b/>
                <w:color w:val="FFFFFF"/>
                <w:szCs w:val="24"/>
                <w:lang w:val="en-US" w:eastAsia="zh-CN"/>
              </w:rPr>
              <w:t>3</w:t>
            </w:r>
            <w:r>
              <w:rPr>
                <w:rFonts w:ascii="PT Astra Serif" w:hAnsi="PT Astra Serif" w:cs="PT Astra Serif"/>
                <w:b/>
                <w:color w:val="FFFFFF"/>
                <w:lang w:val="en-US"/>
              </w:rPr>
              <w:t>#</w:t>
            </w:r>
            <w:bookmarkEnd w:id="1"/>
          </w:p>
        </w:tc>
        <w:tc>
          <w:tcPr>
            <w:tcW w:w="3528" w:type="dxa"/>
            <w:vAlign w:val="bottom"/>
          </w:tcPr>
          <w:p w:rsidR="00A80A2F" w:rsidRDefault="00BA0DC1">
            <w:pPr>
              <w:widowControl w:val="0"/>
              <w:jc w:val="right"/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Ю.Ю. Панфилов</w:t>
            </w:r>
          </w:p>
        </w:tc>
      </w:tr>
    </w:tbl>
    <w:p w:rsidR="00A80A2F" w:rsidRDefault="00A80A2F">
      <w:pPr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</w:pPr>
    </w:p>
    <w:p w:rsidR="00A80A2F" w:rsidRDefault="00A80A2F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A80A2F" w:rsidRDefault="00A80A2F">
      <w:pPr>
        <w:jc w:val="both"/>
        <w:rPr>
          <w:rFonts w:ascii="PT Astra Serif" w:hAnsi="PT Astra Serif" w:cs="PT Astra Serif"/>
          <w:b/>
          <w:bCs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A80A2F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A80A2F" w:rsidRDefault="00BA0DC1">
      <w:pPr>
        <w:spacing w:after="0" w:line="240" w:lineRule="auto"/>
      </w:pPr>
      <w:r>
        <w:rPr>
          <w:rFonts w:ascii="PT Astra Serif" w:hAnsi="PT Astra Serif" w:cs="PT Astra Serif"/>
          <w:sz w:val="20"/>
          <w:szCs w:val="20"/>
        </w:rPr>
        <w:t>Исп.: Леонтьев Вячеслав Викторович</w:t>
      </w:r>
    </w:p>
    <w:p w:rsidR="00A80A2F" w:rsidRDefault="00BA0DC1">
      <w:pPr>
        <w:spacing w:after="0" w:line="240" w:lineRule="auto"/>
        <w:jc w:val="both"/>
      </w:pPr>
      <w:r>
        <w:rPr>
          <w:rFonts w:ascii="PT Astra Serif" w:hAnsi="PT Astra Serif" w:cs="PT Astra Serif"/>
          <w:sz w:val="20"/>
          <w:szCs w:val="20"/>
        </w:rPr>
        <w:t>тел.: 8 (4872) 24-52-48</w:t>
      </w:r>
    </w:p>
    <w:sectPr w:rsidR="00A80A2F">
      <w:pgSz w:w="11906" w:h="16838"/>
      <w:pgMar w:top="720" w:right="566" w:bottom="1134" w:left="15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15464"/>
    <w:multiLevelType w:val="multilevel"/>
    <w:tmpl w:val="90BC06A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635D59"/>
    <w:multiLevelType w:val="multilevel"/>
    <w:tmpl w:val="E3A265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2F"/>
    <w:rsid w:val="00A80A2F"/>
    <w:rsid w:val="00BA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DB7A"/>
  <w15:docId w15:val="{5A73C613-C004-4428-A064-3097AF73F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27D17"/>
    <w:rPr>
      <w:rFonts w:ascii="Tahoma" w:hAnsi="Tahoma" w:cs="Tahoma"/>
      <w:sz w:val="16"/>
      <w:szCs w:val="16"/>
    </w:rPr>
  </w:style>
  <w:style w:type="character" w:styleId="a4">
    <w:name w:val="annotation reference"/>
    <w:qFormat/>
    <w:rPr>
      <w:sz w:val="16"/>
      <w:szCs w:val="16"/>
    </w:rPr>
  </w:style>
  <w:style w:type="character" w:customStyle="1" w:styleId="2">
    <w:name w:val="Основной текст с отступом 2 Знак"/>
    <w:basedOn w:val="a0"/>
    <w:uiPriority w:val="99"/>
    <w:qFormat/>
    <w:rsid w:val="00A934EE"/>
    <w:rPr>
      <w:sz w:val="2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927D1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qFormat/>
    <w:pPr>
      <w:spacing w:after="200" w:line="276" w:lineRule="auto"/>
    </w:pPr>
    <w:rPr>
      <w:rFonts w:cs="Calibri"/>
      <w:sz w:val="22"/>
      <w:lang w:eastAsia="zh-CN"/>
    </w:rPr>
  </w:style>
  <w:style w:type="paragraph" w:styleId="ac">
    <w:name w:val="List Paragraph"/>
    <w:basedOn w:val="a"/>
    <w:qFormat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d">
    <w:name w:val="Содержимое таблицы"/>
    <w:basedOn w:val="a"/>
    <w:qFormat/>
    <w:rsid w:val="00A934EE"/>
    <w:pPr>
      <w:widowControl w:val="0"/>
      <w:suppressLineNumbers/>
    </w:pPr>
  </w:style>
  <w:style w:type="paragraph" w:styleId="20">
    <w:name w:val="Body Text Indent 2"/>
    <w:basedOn w:val="a"/>
    <w:uiPriority w:val="99"/>
    <w:unhideWhenUsed/>
    <w:qFormat/>
    <w:rsid w:val="00A934EE"/>
    <w:pPr>
      <w:spacing w:after="120" w:line="480" w:lineRule="auto"/>
      <w:ind w:left="283"/>
    </w:pPr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e">
    <w:name w:val="Table Grid"/>
    <w:basedOn w:val="a1"/>
    <w:uiPriority w:val="59"/>
    <w:rsid w:val="00927D1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50DD0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2F035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F146B-4478-4B86-BF3A-3D29CF0C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2931</Words>
  <Characters>16709</Characters>
  <Application>Microsoft Office Word</Application>
  <DocSecurity>0</DocSecurity>
  <Lines>139</Lines>
  <Paragraphs>39</Paragraphs>
  <ScaleCrop>false</ScaleCrop>
  <Company>Tularegion</Company>
  <LinksUpToDate>false</LinksUpToDate>
  <CharactersWithSpaces>19601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Надежда Михайловна</dc:creator>
  <dc:description/>
  <cp:lastModifiedBy>Бутусова Елена Анатольевна</cp:lastModifiedBy>
  <cp:revision>32</cp:revision>
  <cp:lastPrinted>2021-07-02T09:49:00Z</cp:lastPrinted>
  <dcterms:created xsi:type="dcterms:W3CDTF">2021-07-02T07:20:00Z</dcterms:created>
  <dcterms:modified xsi:type="dcterms:W3CDTF">2021-08-26T13:57:00Z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Tularegion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